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32"/>
          <w:szCs w:val="32"/>
          <w:rtl w:val="0"/>
        </w:rPr>
        <w:t xml:space="preserve">Internal Penetration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Executive Summary for Navigating Security Corp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Engagement Reference: 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TS-2026-001</w:t>
      </w: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  |  Date: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c8102e"/>
          <w:sz w:val="18"/>
          <w:szCs w:val="18"/>
          <w:rtl w:val="0"/>
        </w:rPr>
        <w:t xml:space="preserve">[DD Month YYYY]</w:t>
      </w: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  |  Version 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cccccc" w:space="8" w:sz="4" w:val="single"/>
        </w:pBd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102e"/>
          <w:sz w:val="24"/>
          <w:szCs w:val="24"/>
          <w:rtl w:val="0"/>
        </w:rPr>
        <w:t xml:space="preserve">Overall Risk Assessment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102e" w:space="0" w:sz="4" w:val="single"/>
              <w:left w:color="c8102e" w:space="0" w:sz="4" w:val="single"/>
              <w:bottom w:color="c8102e" w:space="0" w:sz="4" w:val="single"/>
              <w:right w:color="c8102e" w:space="0" w:sz="4" w:val="single"/>
            </w:tcBorders>
            <w:shd w:fill="fff5f5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06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c8102e"/>
                <w:sz w:val="28"/>
                <w:szCs w:val="28"/>
                <w:rtl w:val="0"/>
              </w:rPr>
              <w:t xml:space="preserve">[HIGH RISK / MEDIUM RISK / LOW RISK]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8102e"/>
                <w:sz w:val="18"/>
                <w:szCs w:val="18"/>
                <w:rtl w:val="0"/>
              </w:rPr>
              <w:t xml:space="preserve">[One sentence summarising the overall posture. Example: TadiSec identified a confirmed path from a standard user account to full domain compromise, indicating significant risk to Navigating Security Corp’s Active Directory environment and business-critical systems.]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What Was Tested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c8102e"/>
          <w:sz w:val="18"/>
          <w:szCs w:val="18"/>
          <w:rtl w:val="0"/>
        </w:rPr>
        <w:t xml:space="preserve">[2–3 sentences. Non-technical. Example: TadiSec conducted an internal network penetration test of Navigating Security Corp’s Active Directory environment between [dates]. Testing simulated an insider threat scenario using a low-privilege user account to assess how far an attacker could move within the network. The assessment covered [X] network segments containing domain controllers, file servers, workstations, and application servers.]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What Was Found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Critical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5d0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9e0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563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6b728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a1a1a"/>
                <w:sz w:val="24"/>
                <w:szCs w:val="24"/>
                <w:rtl w:val="0"/>
              </w:rPr>
              <w:t xml:space="preserve">[#]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a1a1a"/>
                <w:sz w:val="24"/>
                <w:szCs w:val="24"/>
                <w:rtl w:val="0"/>
              </w:rPr>
              <w:t xml:space="preserve">[#]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a1a1a"/>
                <w:sz w:val="24"/>
                <w:szCs w:val="24"/>
                <w:rtl w:val="0"/>
              </w:rPr>
              <w:t xml:space="preserve">[#]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a1a1a"/>
                <w:sz w:val="24"/>
                <w:szCs w:val="24"/>
                <w:rtl w:val="0"/>
              </w:rPr>
              <w:t xml:space="preserve">[#]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a1a1a"/>
                <w:sz w:val="24"/>
                <w:szCs w:val="24"/>
                <w:rtl w:val="0"/>
              </w:rPr>
              <w:t xml:space="preserve">[#]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c8102e"/>
          <w:sz w:val="18"/>
          <w:szCs w:val="18"/>
          <w:rtl w:val="0"/>
        </w:rPr>
        <w:t xml:space="preserve">[2–4 sentences summarising the most significant findings in business terms. No tool names. No technical jargon. Example: TadiSec identified a complete attack path from a standard user account to full administrative control of the domain in three steps. This path leveraged weak credentials on internal service accounts and a misconfigured trust relationship on a server hosting financial data. If exploited, this would grant an attacker unrestricted access to all systems, user accounts, and business data in the environment.]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Key Findings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5960"/>
        <w:gridCol w:w="2200"/>
        <w:tblGridChange w:id="0">
          <w:tblGrid>
            <w:gridCol w:w="1200"/>
            <w:gridCol w:w="5960"/>
            <w:gridCol w:w="2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Severity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Finding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Business Risk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Critical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[Finding title in plain language. Example: Weak service account credentials enabled full domain compromise]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[1–2 word risk. Example: Domain takeover]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5d0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[Finding title]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[Business risk]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9e0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[Finding title]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[Business risk]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c8102e"/>
          <w:sz w:val="18"/>
          <w:szCs w:val="18"/>
          <w:rtl w:val="0"/>
        </w:rPr>
        <w:t xml:space="preserve">[Add or remove rows to match your finding count. Keep finding titles in business language.]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How We Got In: The Attack Path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The following summarises the path TadiSec used to move from a standard user account to full administrative control of the domain. Each step represents a finding that, if remediated, would break the chain.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4380"/>
        <w:gridCol w:w="4380"/>
        <w:tblGridChange w:id="0">
          <w:tblGrid>
            <w:gridCol w:w="600"/>
            <w:gridCol w:w="4380"/>
            <w:gridCol w:w="43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to Fix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a1a1a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[Business-language description. Example: We obtained credentials for a service account that manages database access.]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[Plain-language fix. Example: Rotate service account passwords and automate their management.]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a1a1a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[Next step in the chain.]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[Corresponding fix.]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a1a1a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[Final step to domain compromise.]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c8102e"/>
                <w:sz w:val="17"/>
                <w:szCs w:val="17"/>
                <w:rtl w:val="0"/>
              </w:rPr>
              <w:t xml:space="preserve">[Corresponding fix.]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Strategic 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TadiSec recommends the following actions, in priority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Immediate (0–14 days):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c8102e"/>
          <w:sz w:val="18"/>
          <w:szCs w:val="18"/>
          <w:u w:val="none"/>
          <w:shd w:fill="auto" w:val="clear"/>
          <w:vertAlign w:val="baseline"/>
          <w:rtl w:val="0"/>
        </w:rPr>
        <w:t xml:space="preserve">[Highest-priority action tied to breaking the attack chain. Example: Rotate all compromised service account credentials to 25+ character strings and enforce a domain-wide password reset.]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Short Term (14–30 days):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c8102e"/>
          <w:sz w:val="18"/>
          <w:szCs w:val="18"/>
          <w:u w:val="none"/>
          <w:shd w:fill="auto" w:val="clear"/>
          <w:vertAlign w:val="baseline"/>
          <w:rtl w:val="0"/>
        </w:rPr>
        <w:t xml:space="preserve">[Second-priority action. Example: Implement automated service account management (gMSA) to eliminate human-managed credentials on critical systems.]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Medium Term (30–90 days):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c8102e"/>
          <w:sz w:val="18"/>
          <w:szCs w:val="18"/>
          <w:u w:val="none"/>
          <w:shd w:fill="auto" w:val="clear"/>
          <w:vertAlign w:val="baseline"/>
          <w:rtl w:val="0"/>
        </w:rPr>
        <w:t xml:space="preserve">[Systemic improvements. Example: Review and restrict file share permissions across all departments; implement network-level authentication on all remote access services.]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Long Term (90+ days):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c8102e"/>
          <w:sz w:val="18"/>
          <w:szCs w:val="18"/>
          <w:u w:val="none"/>
          <w:shd w:fill="auto" w:val="clear"/>
          <w:vertAlign w:val="baseline"/>
          <w:rtl w:val="0"/>
        </w:rPr>
        <w:t xml:space="preserve">[Strategic hardening. Example: Conduct periodic Active Directory security assessments; enhance network segmentation to isolate critical systems.]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What Went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c8102e"/>
          <w:sz w:val="18"/>
          <w:szCs w:val="18"/>
          <w:rtl w:val="0"/>
        </w:rPr>
        <w:t xml:space="preserve">[2–3 positive observations, framed as strengths. Example: Endpoint detection identified several of TadiSec’s tool uploads during testing. Service accounts were not configured with domain administrator privileges. The IT team responded promptly to all communication during the engagement.]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cccccc" w:space="8" w:sz="4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Review the full report (delivered separately) for detailed technical findings, evidence, and remediation steps.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Schedule a remediation planning session with TadiSec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Plan a retest after critical and high findings have been addressed.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42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Questions about this summary or the full report?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8102e"/>
                <w:sz w:val="18"/>
                <w:szCs w:val="18"/>
                <w:rtl w:val="0"/>
              </w:rPr>
              <w:t xml:space="preserve">[Lead Assessor Name]  |  [assessor@tadisec.com]  | 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TadiSec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80" w:top="108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color="cccccc" w:space="4" w:sz="4" w:val="single"/>
      </w:pBdr>
      <w:tabs>
        <w:tab w:val="right" w:leader="none" w:pos="9360"/>
      </w:tabs>
      <w:spacing w:before="0" w:lineRule="auto"/>
      <w:rPr/>
    </w:pPr>
    <w:r w:rsidDel="00000000" w:rsidR="00000000" w:rsidRPr="00000000">
      <w:rPr>
        <w:b w:val="1"/>
        <w:bCs w:val="1"/>
        <w:color w:val="c0392b"/>
        <w:sz w:val="14"/>
        <w:szCs w:val="14"/>
        <w:rtl w:val="0"/>
      </w:rPr>
      <w:t xml:space="preserve">CONFIDENTIAL</w:t>
    </w:r>
    <w:r w:rsidDel="00000000" w:rsidR="00000000" w:rsidRPr="00000000">
      <w:rPr>
        <w:rFonts w:ascii="Arial" w:cs="Arial" w:eastAsia="Arial" w:hAnsi="Arial"/>
        <w:color w:val="666666"/>
        <w:sz w:val="14"/>
        <w:szCs w:val="14"/>
        <w:rtl w:val="0"/>
      </w:rPr>
      <w:tab/>
      <w:t xml:space="preserve">Page </w:t>
    </w:r>
    <w:r w:rsidDel="00000000" w:rsidR="00000000" w:rsidRPr="00000000">
      <w:rPr>
        <w:rFonts w:ascii="Arial" w:cs="Arial" w:eastAsia="Arial" w:hAnsi="Arial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bottom w:color="c8102e" w:space="4" w:sz="6" w:val="single"/>
      </w:pBdr>
      <w:spacing w:after="0" w:lineRule="auto"/>
      <w:jc w:val="left"/>
      <w:rPr/>
    </w:pPr>
    <w:r w:rsidDel="00000000" w:rsidR="00000000" w:rsidRPr="00000000">
      <w:rPr>
        <w:rFonts w:ascii="Arial" w:cs="Arial" w:eastAsia="Arial" w:hAnsi="Arial"/>
        <w:b w:val="1"/>
        <w:bCs w:val="1"/>
        <w:color w:val="c8102e"/>
        <w:sz w:val="20"/>
        <w:szCs w:val="20"/>
        <w:rtl w:val="0"/>
      </w:rPr>
      <w:t xml:space="preserve">TADISEC</w:t>
    </w:r>
    <w:r w:rsidDel="00000000" w:rsidR="00000000" w:rsidRPr="00000000">
      <w:rPr>
        <w:color w:val="666666"/>
        <w:sz w:val="16"/>
        <w:szCs w:val="16"/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 Executive Summary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g1f0wtPl+XD2wmglXD+LnioJ4w==">CgMxLjA4AHIhMS1mSnpuQ0ptNVB0WVhCLU5fZTV4Z21kZkNNTlZzWTZR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